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5925" w:rsidRDefault="00C0242E">
      <w:bookmarkStart w:id="0" w:name="_GoBack"/>
      <w:bookmarkEnd w:id="0"/>
      <w:r>
        <w:rPr>
          <w:noProof/>
          <w:lang w:eastAsia="en-GB"/>
        </w:rPr>
        <w:drawing>
          <wp:inline distT="0" distB="0" distL="0" distR="0">
            <wp:extent cx="2238375" cy="921928"/>
            <wp:effectExtent l="19050" t="0" r="9525" b="0"/>
            <wp:docPr id="1" name="Picture 1" descr="C:\Users\Bottleman\Downloads\Bottleman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ttleman\Downloads\Bottleman Logo[1].jpg"/>
                    <pic:cNvPicPr>
                      <a:picLocks noChangeAspect="1" noChangeArrowheads="1"/>
                    </pic:cNvPicPr>
                  </pic:nvPicPr>
                  <pic:blipFill>
                    <a:blip r:embed="rId4" cstate="print"/>
                    <a:srcRect/>
                    <a:stretch>
                      <a:fillRect/>
                    </a:stretch>
                  </pic:blipFill>
                  <pic:spPr bwMode="auto">
                    <a:xfrm>
                      <a:off x="0" y="0"/>
                      <a:ext cx="2238375" cy="921928"/>
                    </a:xfrm>
                    <a:prstGeom prst="rect">
                      <a:avLst/>
                    </a:prstGeom>
                    <a:noFill/>
                    <a:ln w="9525">
                      <a:noFill/>
                      <a:miter lim="800000"/>
                      <a:headEnd/>
                      <a:tailEnd/>
                    </a:ln>
                  </pic:spPr>
                </pic:pic>
              </a:graphicData>
            </a:graphic>
          </wp:inline>
        </w:drawing>
      </w:r>
    </w:p>
    <w:p w:rsidR="00C0242E" w:rsidRPr="00672239" w:rsidRDefault="00F24082" w:rsidP="00C0242E">
      <w:pPr>
        <w:rPr>
          <w:rFonts w:ascii="Rockwell Extra Bold" w:hAnsi="Rockwell Extra Bold"/>
          <w:sz w:val="48"/>
          <w:szCs w:val="48"/>
        </w:rPr>
      </w:pPr>
      <w:r>
        <w:rPr>
          <w:rFonts w:ascii="Rockwell Extra Bold" w:hAnsi="Rockwell Extra Bold"/>
          <w:noProof/>
          <w:sz w:val="24"/>
          <w:szCs w:val="24"/>
          <w:lang w:eastAsia="en-GB"/>
        </w:rPr>
        <w:pict>
          <v:shapetype id="_x0000_t202" coordsize="21600,21600" o:spt="202" path="m,l,21600r21600,l21600,xe">
            <v:stroke joinstyle="miter"/>
            <v:path gradientshapeok="t" o:connecttype="rect"/>
          </v:shapetype>
          <v:shape id="_x0000_s1026" type="#_x0000_t202" style="position:absolute;margin-left:324pt;margin-top:33.95pt;width:142.5pt;height:23.7pt;z-index:251660288" strokecolor="#e36c0a [2409]" strokeweight="3pt">
            <v:textbox>
              <w:txbxContent>
                <w:p w:rsidR="00C0242E" w:rsidRPr="00672239" w:rsidRDefault="00C0242E" w:rsidP="00C0242E">
                  <w:pPr>
                    <w:spacing w:after="0"/>
                    <w:jc w:val="center"/>
                    <w:rPr>
                      <w:b/>
                      <w:sz w:val="24"/>
                      <w:szCs w:val="24"/>
                    </w:rPr>
                  </w:pPr>
                  <w:r>
                    <w:rPr>
                      <w:b/>
                      <w:sz w:val="24"/>
                      <w:szCs w:val="24"/>
                    </w:rPr>
                    <w:t>Product Data</w:t>
                  </w:r>
                  <w:r w:rsidRPr="00672239">
                    <w:rPr>
                      <w:b/>
                      <w:sz w:val="24"/>
                      <w:szCs w:val="24"/>
                    </w:rPr>
                    <w:t xml:space="preserve"> Sheet</w:t>
                  </w:r>
                </w:p>
              </w:txbxContent>
            </v:textbox>
          </v:shape>
        </w:pict>
      </w:r>
      <w:r w:rsidR="00C0242E">
        <w:rPr>
          <w:rFonts w:ascii="Rockwell Extra Bold" w:hAnsi="Rockwell Extra Bold"/>
          <w:sz w:val="48"/>
          <w:szCs w:val="48"/>
        </w:rPr>
        <w:t>Glass Recycling</w:t>
      </w:r>
    </w:p>
    <w:p w:rsidR="00C0242E" w:rsidRDefault="00C0242E" w:rsidP="00C0242E">
      <w:pPr>
        <w:rPr>
          <w:rFonts w:ascii="Rockwell Extra Bold" w:hAnsi="Rockwell Extra Bold"/>
          <w:sz w:val="24"/>
          <w:szCs w:val="24"/>
        </w:rPr>
      </w:pPr>
    </w:p>
    <w:p w:rsidR="00C0242E" w:rsidRDefault="00C0242E" w:rsidP="00C0242E">
      <w:pPr>
        <w:jc w:val="both"/>
      </w:pPr>
      <w:r>
        <w:t>Bottleman Recycling Services LTD prides itself in collecting waste plate glass and bottles for recycling</w:t>
      </w:r>
      <w:r w:rsidR="006B2B38">
        <w:t xml:space="preserve"> </w:t>
      </w:r>
      <w:r>
        <w:t>for use by glass processors.  In order to produce the quality standards demanded by the market, it is essential the right types of glass are collected for recycling and contamination levels are kept to a minimum.</w:t>
      </w:r>
    </w:p>
    <w:p w:rsidR="00C0242E" w:rsidRDefault="00C0242E" w:rsidP="00C0242E">
      <w:pPr>
        <w:spacing w:after="120"/>
        <w:jc w:val="both"/>
        <w:rPr>
          <w:rFonts w:ascii="Rockwell Extra Bold" w:hAnsi="Rockwell Extra Bold"/>
          <w:sz w:val="28"/>
          <w:szCs w:val="28"/>
        </w:rPr>
      </w:pPr>
      <w:r>
        <w:t>Detailed below are guidelines to help you maximise your financial return through sorting glass into various grades suitable for the recycling process.</w:t>
      </w:r>
    </w:p>
    <w:p w:rsidR="00C0242E" w:rsidRPr="001B3583" w:rsidRDefault="00C0242E" w:rsidP="00C0242E">
      <w:pPr>
        <w:jc w:val="center"/>
        <w:rPr>
          <w:b/>
          <w:sz w:val="40"/>
          <w:szCs w:val="40"/>
        </w:rPr>
      </w:pPr>
      <w:r w:rsidRPr="001B3583">
        <w:rPr>
          <w:b/>
          <w:sz w:val="40"/>
          <w:szCs w:val="40"/>
        </w:rPr>
        <w:t>Acceptable Glass Cullet</w:t>
      </w:r>
    </w:p>
    <w:tbl>
      <w:tblPr>
        <w:tblStyle w:val="TableGrid"/>
        <w:tblW w:w="0" w:type="auto"/>
        <w:tblBorders>
          <w:top w:val="single" w:sz="24" w:space="0" w:color="E36C0A" w:themeColor="accent6" w:themeShade="BF"/>
          <w:left w:val="single" w:sz="24" w:space="0" w:color="E36C0A" w:themeColor="accent6" w:themeShade="BF"/>
          <w:bottom w:val="single" w:sz="24" w:space="0" w:color="E36C0A" w:themeColor="accent6" w:themeShade="BF"/>
          <w:right w:val="single" w:sz="24" w:space="0" w:color="E36C0A" w:themeColor="accent6" w:themeShade="BF"/>
          <w:insideH w:val="single" w:sz="24" w:space="0" w:color="E36C0A" w:themeColor="accent6" w:themeShade="BF"/>
          <w:insideV w:val="single" w:sz="24" w:space="0" w:color="E36C0A" w:themeColor="accent6" w:themeShade="BF"/>
        </w:tblBorders>
        <w:tblLook w:val="04A0" w:firstRow="1" w:lastRow="0" w:firstColumn="1" w:lastColumn="0" w:noHBand="0" w:noVBand="1"/>
      </w:tblPr>
      <w:tblGrid>
        <w:gridCol w:w="1809"/>
        <w:gridCol w:w="7433"/>
      </w:tblGrid>
      <w:tr w:rsidR="00C0242E" w:rsidTr="00D41013">
        <w:tc>
          <w:tcPr>
            <w:tcW w:w="1809" w:type="dxa"/>
          </w:tcPr>
          <w:p w:rsidR="00C0242E" w:rsidRDefault="00C0242E" w:rsidP="00D41013">
            <w:r w:rsidRPr="00CA41EE">
              <w:rPr>
                <w:b/>
              </w:rPr>
              <w:t>Clear glass</w:t>
            </w:r>
          </w:p>
        </w:tc>
        <w:tc>
          <w:tcPr>
            <w:tcW w:w="7433" w:type="dxa"/>
          </w:tcPr>
          <w:p w:rsidR="00C0242E" w:rsidRPr="0046253A" w:rsidRDefault="00C0242E" w:rsidP="00D41013">
            <w:pPr>
              <w:pStyle w:val="ListParagraph"/>
              <w:ind w:left="0"/>
              <w:rPr>
                <w:sz w:val="24"/>
                <w:szCs w:val="24"/>
              </w:rPr>
            </w:pPr>
            <w:r w:rsidRPr="0046253A">
              <w:rPr>
                <w:sz w:val="24"/>
                <w:szCs w:val="24"/>
              </w:rPr>
              <w:t>Clear Float,  Toughened</w:t>
            </w:r>
            <w:r>
              <w:rPr>
                <w:sz w:val="24"/>
                <w:szCs w:val="24"/>
              </w:rPr>
              <w:t>,</w:t>
            </w:r>
            <w:r w:rsidRPr="0046253A">
              <w:rPr>
                <w:sz w:val="24"/>
                <w:szCs w:val="24"/>
              </w:rPr>
              <w:t xml:space="preserve">  Low E,  Obscure,  Patterned </w:t>
            </w:r>
          </w:p>
        </w:tc>
      </w:tr>
      <w:tr w:rsidR="00C0242E" w:rsidTr="00D41013">
        <w:tc>
          <w:tcPr>
            <w:tcW w:w="1809" w:type="dxa"/>
          </w:tcPr>
          <w:p w:rsidR="00C0242E" w:rsidRDefault="00C0242E" w:rsidP="00D41013">
            <w:r w:rsidRPr="00CA41EE">
              <w:rPr>
                <w:b/>
              </w:rPr>
              <w:t>Mixed glass</w:t>
            </w:r>
          </w:p>
        </w:tc>
        <w:tc>
          <w:tcPr>
            <w:tcW w:w="7433" w:type="dxa"/>
          </w:tcPr>
          <w:p w:rsidR="00C0242E" w:rsidRPr="0046253A" w:rsidRDefault="00C0242E" w:rsidP="00D41013">
            <w:pPr>
              <w:rPr>
                <w:sz w:val="24"/>
                <w:szCs w:val="24"/>
              </w:rPr>
            </w:pPr>
            <w:r w:rsidRPr="006B2B38">
              <w:rPr>
                <w:sz w:val="24"/>
                <w:szCs w:val="24"/>
                <w:u w:val="single"/>
              </w:rPr>
              <w:t>Double Glazed Sealed Units</w:t>
            </w:r>
            <w:r w:rsidR="006B2B38" w:rsidRPr="006B2B38">
              <w:rPr>
                <w:sz w:val="24"/>
                <w:szCs w:val="24"/>
                <w:u w:val="single"/>
              </w:rPr>
              <w:t xml:space="preserve"> upon arrangement</w:t>
            </w:r>
            <w:r>
              <w:rPr>
                <w:sz w:val="24"/>
                <w:szCs w:val="24"/>
              </w:rPr>
              <w:t xml:space="preserve">, </w:t>
            </w:r>
            <w:r w:rsidRPr="0046253A">
              <w:rPr>
                <w:sz w:val="24"/>
                <w:szCs w:val="24"/>
              </w:rPr>
              <w:t xml:space="preserve">Tinted, </w:t>
            </w:r>
            <w:r>
              <w:rPr>
                <w:sz w:val="24"/>
                <w:szCs w:val="24"/>
              </w:rPr>
              <w:t xml:space="preserve"> Wired,  </w:t>
            </w:r>
            <w:r w:rsidRPr="0046253A">
              <w:rPr>
                <w:sz w:val="24"/>
                <w:szCs w:val="24"/>
              </w:rPr>
              <w:t>Screen Printed</w:t>
            </w:r>
          </w:p>
        </w:tc>
      </w:tr>
      <w:tr w:rsidR="00C0242E" w:rsidTr="00D41013">
        <w:tc>
          <w:tcPr>
            <w:tcW w:w="1809" w:type="dxa"/>
          </w:tcPr>
          <w:p w:rsidR="00C0242E" w:rsidRPr="00CA41EE" w:rsidRDefault="00C0242E" w:rsidP="00D41013">
            <w:pPr>
              <w:rPr>
                <w:b/>
              </w:rPr>
            </w:pPr>
          </w:p>
        </w:tc>
        <w:tc>
          <w:tcPr>
            <w:tcW w:w="7433" w:type="dxa"/>
          </w:tcPr>
          <w:p w:rsidR="00C0242E" w:rsidRDefault="00C0242E" w:rsidP="00D41013">
            <w:pPr>
              <w:rPr>
                <w:sz w:val="24"/>
                <w:szCs w:val="24"/>
              </w:rPr>
            </w:pPr>
          </w:p>
        </w:tc>
      </w:tr>
    </w:tbl>
    <w:p w:rsidR="00C0242E" w:rsidRPr="001B3583" w:rsidRDefault="00C0242E" w:rsidP="00C0242E">
      <w:pPr>
        <w:spacing w:after="0"/>
      </w:pPr>
    </w:p>
    <w:p w:rsidR="00C0242E" w:rsidRDefault="00C0242E" w:rsidP="00C0242E">
      <w:pPr>
        <w:spacing w:after="0"/>
      </w:pPr>
      <w:r>
        <w:t xml:space="preserve">Please </w:t>
      </w:r>
      <w:r w:rsidRPr="00DC15BB">
        <w:rPr>
          <w:b/>
        </w:rPr>
        <w:t>DO NOT</w:t>
      </w:r>
      <w:r>
        <w:t xml:space="preserve"> return the following types of glass as their chemical composition make them </w:t>
      </w:r>
      <w:r>
        <w:rPr>
          <w:b/>
        </w:rPr>
        <w:t xml:space="preserve">UN-SUITABLE </w:t>
      </w:r>
      <w:r>
        <w:t>for recycling.</w:t>
      </w:r>
    </w:p>
    <w:p w:rsidR="00C0242E" w:rsidRPr="001B3583" w:rsidRDefault="00C0242E" w:rsidP="00C0242E">
      <w:pPr>
        <w:jc w:val="center"/>
        <w:rPr>
          <w:b/>
          <w:sz w:val="40"/>
          <w:szCs w:val="40"/>
        </w:rPr>
      </w:pPr>
      <w:r>
        <w:rPr>
          <w:b/>
          <w:sz w:val="40"/>
          <w:szCs w:val="40"/>
        </w:rPr>
        <w:t>Un-</w:t>
      </w:r>
      <w:r w:rsidRPr="001B3583">
        <w:rPr>
          <w:b/>
          <w:sz w:val="40"/>
          <w:szCs w:val="40"/>
        </w:rPr>
        <w:t>Acceptable Glass Cullet</w:t>
      </w:r>
    </w:p>
    <w:tbl>
      <w:tblPr>
        <w:tblStyle w:val="TableGrid"/>
        <w:tblW w:w="0" w:type="auto"/>
        <w:tblBorders>
          <w:top w:val="single" w:sz="24" w:space="0" w:color="E36C0A" w:themeColor="accent6" w:themeShade="BF"/>
          <w:left w:val="single" w:sz="24" w:space="0" w:color="E36C0A" w:themeColor="accent6" w:themeShade="BF"/>
          <w:bottom w:val="single" w:sz="24" w:space="0" w:color="E36C0A" w:themeColor="accent6" w:themeShade="BF"/>
          <w:right w:val="single" w:sz="24" w:space="0" w:color="E36C0A" w:themeColor="accent6" w:themeShade="BF"/>
          <w:insideH w:val="single" w:sz="24" w:space="0" w:color="E36C0A" w:themeColor="accent6" w:themeShade="BF"/>
          <w:insideV w:val="single" w:sz="24" w:space="0" w:color="E36C0A" w:themeColor="accent6" w:themeShade="BF"/>
        </w:tblBorders>
        <w:tblLook w:val="04A0" w:firstRow="1" w:lastRow="0" w:firstColumn="1" w:lastColumn="0" w:noHBand="0" w:noVBand="1"/>
      </w:tblPr>
      <w:tblGrid>
        <w:gridCol w:w="2376"/>
        <w:gridCol w:w="6866"/>
      </w:tblGrid>
      <w:tr w:rsidR="00C0242E" w:rsidRPr="0046253A" w:rsidTr="00D41013">
        <w:tc>
          <w:tcPr>
            <w:tcW w:w="2376" w:type="dxa"/>
          </w:tcPr>
          <w:p w:rsidR="00C0242E" w:rsidRDefault="00C0242E" w:rsidP="00D41013">
            <w:r>
              <w:rPr>
                <w:b/>
              </w:rPr>
              <w:t>Safety</w:t>
            </w:r>
          </w:p>
        </w:tc>
        <w:tc>
          <w:tcPr>
            <w:tcW w:w="6866" w:type="dxa"/>
          </w:tcPr>
          <w:p w:rsidR="00C0242E" w:rsidRPr="0046253A" w:rsidRDefault="00C0242E" w:rsidP="00D41013">
            <w:pPr>
              <w:pStyle w:val="ListParagraph"/>
              <w:ind w:left="0"/>
              <w:rPr>
                <w:sz w:val="24"/>
                <w:szCs w:val="24"/>
              </w:rPr>
            </w:pPr>
            <w:r>
              <w:rPr>
                <w:sz w:val="24"/>
                <w:szCs w:val="24"/>
              </w:rPr>
              <w:t>Safety backed, mirrors, wardrobe doors, reflectors, optical glass, etc</w:t>
            </w:r>
          </w:p>
        </w:tc>
      </w:tr>
      <w:tr w:rsidR="00C0242E" w:rsidRPr="0046253A" w:rsidTr="00D41013">
        <w:tc>
          <w:tcPr>
            <w:tcW w:w="2376" w:type="dxa"/>
          </w:tcPr>
          <w:p w:rsidR="00C0242E" w:rsidRDefault="00C0242E" w:rsidP="00D41013">
            <w:r>
              <w:rPr>
                <w:b/>
              </w:rPr>
              <w:t>Fire Resistant</w:t>
            </w:r>
          </w:p>
        </w:tc>
        <w:tc>
          <w:tcPr>
            <w:tcW w:w="6866" w:type="dxa"/>
          </w:tcPr>
          <w:p w:rsidR="00C0242E" w:rsidRPr="0046253A" w:rsidRDefault="00C0242E" w:rsidP="00D41013">
            <w:pPr>
              <w:rPr>
                <w:sz w:val="24"/>
                <w:szCs w:val="24"/>
              </w:rPr>
            </w:pPr>
            <w:r>
              <w:rPr>
                <w:sz w:val="24"/>
                <w:szCs w:val="24"/>
              </w:rPr>
              <w:t xml:space="preserve">Ceram, </w:t>
            </w:r>
            <w:proofErr w:type="spellStart"/>
            <w:r>
              <w:rPr>
                <w:sz w:val="24"/>
                <w:szCs w:val="24"/>
              </w:rPr>
              <w:t>Pyrostop</w:t>
            </w:r>
            <w:proofErr w:type="spellEnd"/>
            <w:r>
              <w:rPr>
                <w:sz w:val="24"/>
                <w:szCs w:val="24"/>
              </w:rPr>
              <w:t xml:space="preserve">, </w:t>
            </w:r>
            <w:proofErr w:type="spellStart"/>
            <w:r>
              <w:rPr>
                <w:sz w:val="24"/>
                <w:szCs w:val="24"/>
              </w:rPr>
              <w:t>Pyroguard</w:t>
            </w:r>
            <w:proofErr w:type="spellEnd"/>
            <w:r>
              <w:rPr>
                <w:sz w:val="24"/>
                <w:szCs w:val="24"/>
              </w:rPr>
              <w:t xml:space="preserve">, </w:t>
            </w:r>
            <w:proofErr w:type="spellStart"/>
            <w:r>
              <w:rPr>
                <w:sz w:val="24"/>
                <w:szCs w:val="24"/>
              </w:rPr>
              <w:t>Pyroshield</w:t>
            </w:r>
            <w:proofErr w:type="spellEnd"/>
            <w:r>
              <w:rPr>
                <w:sz w:val="24"/>
                <w:szCs w:val="24"/>
              </w:rPr>
              <w:t xml:space="preserve">, </w:t>
            </w:r>
            <w:proofErr w:type="spellStart"/>
            <w:r>
              <w:rPr>
                <w:sz w:val="24"/>
                <w:szCs w:val="24"/>
              </w:rPr>
              <w:t>Pyrodur</w:t>
            </w:r>
            <w:proofErr w:type="spellEnd"/>
            <w:r>
              <w:rPr>
                <w:sz w:val="24"/>
                <w:szCs w:val="24"/>
              </w:rPr>
              <w:t xml:space="preserve">, </w:t>
            </w:r>
            <w:proofErr w:type="spellStart"/>
            <w:r>
              <w:rPr>
                <w:sz w:val="24"/>
                <w:szCs w:val="24"/>
              </w:rPr>
              <w:t>Robax</w:t>
            </w:r>
            <w:proofErr w:type="spellEnd"/>
            <w:r>
              <w:rPr>
                <w:sz w:val="24"/>
                <w:szCs w:val="24"/>
              </w:rPr>
              <w:t>, furnace observation windows, etc</w:t>
            </w:r>
          </w:p>
        </w:tc>
      </w:tr>
      <w:tr w:rsidR="00C0242E" w:rsidTr="00D41013">
        <w:tc>
          <w:tcPr>
            <w:tcW w:w="2376" w:type="dxa"/>
          </w:tcPr>
          <w:p w:rsidR="00C0242E" w:rsidRDefault="00C0242E" w:rsidP="00D41013">
            <w:pPr>
              <w:rPr>
                <w:b/>
              </w:rPr>
            </w:pPr>
            <w:r>
              <w:rPr>
                <w:b/>
              </w:rPr>
              <w:t>Bora Silicate</w:t>
            </w:r>
          </w:p>
          <w:p w:rsidR="00C0242E" w:rsidRPr="00CA41EE" w:rsidRDefault="00C0242E" w:rsidP="00D41013">
            <w:pPr>
              <w:rPr>
                <w:b/>
              </w:rPr>
            </w:pPr>
          </w:p>
        </w:tc>
        <w:tc>
          <w:tcPr>
            <w:tcW w:w="6866" w:type="dxa"/>
          </w:tcPr>
          <w:p w:rsidR="00C0242E" w:rsidRDefault="00C0242E" w:rsidP="00D41013">
            <w:pPr>
              <w:rPr>
                <w:sz w:val="24"/>
                <w:szCs w:val="24"/>
              </w:rPr>
            </w:pPr>
            <w:r>
              <w:rPr>
                <w:sz w:val="24"/>
                <w:szCs w:val="24"/>
              </w:rPr>
              <w:t>Pyrex and other heat resistant kitchen ware, laboratory glassware e.g. syringes, vials, tubes and rods, scientific instruments, lead glass tubes, glass pistons, valve seats, glass beads, etc</w:t>
            </w:r>
          </w:p>
        </w:tc>
      </w:tr>
      <w:tr w:rsidR="00C0242E" w:rsidTr="00D41013">
        <w:tc>
          <w:tcPr>
            <w:tcW w:w="2376" w:type="dxa"/>
          </w:tcPr>
          <w:p w:rsidR="00C0242E" w:rsidRDefault="00C0242E" w:rsidP="00D41013">
            <w:pPr>
              <w:rPr>
                <w:b/>
              </w:rPr>
            </w:pPr>
            <w:r>
              <w:rPr>
                <w:b/>
              </w:rPr>
              <w:t>Light Fittings</w:t>
            </w:r>
          </w:p>
        </w:tc>
        <w:tc>
          <w:tcPr>
            <w:tcW w:w="6866" w:type="dxa"/>
          </w:tcPr>
          <w:p w:rsidR="00C0242E" w:rsidRDefault="00C0242E" w:rsidP="00D41013">
            <w:pPr>
              <w:rPr>
                <w:sz w:val="24"/>
                <w:szCs w:val="24"/>
              </w:rPr>
            </w:pPr>
            <w:r>
              <w:rPr>
                <w:sz w:val="24"/>
                <w:szCs w:val="24"/>
              </w:rPr>
              <w:t>Light bulbs, fluorescent tubes, Halogen bulbs, etc</w:t>
            </w:r>
          </w:p>
        </w:tc>
      </w:tr>
      <w:tr w:rsidR="00C0242E" w:rsidTr="00D41013">
        <w:tc>
          <w:tcPr>
            <w:tcW w:w="2376" w:type="dxa"/>
          </w:tcPr>
          <w:p w:rsidR="00C0242E" w:rsidRDefault="00C0242E" w:rsidP="00D41013">
            <w:pPr>
              <w:rPr>
                <w:b/>
              </w:rPr>
            </w:pPr>
            <w:r>
              <w:rPr>
                <w:b/>
              </w:rPr>
              <w:t>Domestic Appliances</w:t>
            </w:r>
          </w:p>
        </w:tc>
        <w:tc>
          <w:tcPr>
            <w:tcW w:w="6866" w:type="dxa"/>
          </w:tcPr>
          <w:p w:rsidR="00C0242E" w:rsidRDefault="00C0242E" w:rsidP="00D41013">
            <w:pPr>
              <w:rPr>
                <w:sz w:val="24"/>
                <w:szCs w:val="24"/>
              </w:rPr>
            </w:pPr>
            <w:r>
              <w:rPr>
                <w:sz w:val="24"/>
                <w:szCs w:val="24"/>
              </w:rPr>
              <w:t xml:space="preserve">TV tubes, microwave and oven doors, ceramic and induction hobs, wood burner and </w:t>
            </w:r>
            <w:proofErr w:type="spellStart"/>
            <w:r>
              <w:rPr>
                <w:sz w:val="24"/>
                <w:szCs w:val="24"/>
              </w:rPr>
              <w:t>multifuel</w:t>
            </w:r>
            <w:proofErr w:type="spellEnd"/>
            <w:r>
              <w:rPr>
                <w:sz w:val="24"/>
                <w:szCs w:val="24"/>
              </w:rPr>
              <w:t xml:space="preserve"> stove doors, </w:t>
            </w:r>
            <w:proofErr w:type="spellStart"/>
            <w:r>
              <w:rPr>
                <w:sz w:val="24"/>
                <w:szCs w:val="24"/>
              </w:rPr>
              <w:t>etc</w:t>
            </w:r>
            <w:proofErr w:type="spellEnd"/>
            <w:r>
              <w:rPr>
                <w:sz w:val="24"/>
                <w:szCs w:val="24"/>
              </w:rPr>
              <w:t xml:space="preserve"> </w:t>
            </w:r>
          </w:p>
        </w:tc>
      </w:tr>
      <w:tr w:rsidR="00C0242E" w:rsidTr="00D41013">
        <w:tc>
          <w:tcPr>
            <w:tcW w:w="2376" w:type="dxa"/>
          </w:tcPr>
          <w:p w:rsidR="00C0242E" w:rsidRDefault="00C0242E" w:rsidP="00D41013">
            <w:pPr>
              <w:rPr>
                <w:b/>
              </w:rPr>
            </w:pPr>
            <w:r>
              <w:rPr>
                <w:b/>
              </w:rPr>
              <w:t>General Rubbish</w:t>
            </w:r>
          </w:p>
        </w:tc>
        <w:tc>
          <w:tcPr>
            <w:tcW w:w="6866" w:type="dxa"/>
          </w:tcPr>
          <w:p w:rsidR="00C0242E" w:rsidRDefault="00C0242E" w:rsidP="00D41013">
            <w:pPr>
              <w:rPr>
                <w:sz w:val="24"/>
                <w:szCs w:val="24"/>
              </w:rPr>
            </w:pPr>
            <w:r>
              <w:rPr>
                <w:sz w:val="24"/>
                <w:szCs w:val="24"/>
              </w:rPr>
              <w:t>Wood, plastic, cement, building rubble, lead, metal, paper, etc</w:t>
            </w:r>
          </w:p>
        </w:tc>
      </w:tr>
    </w:tbl>
    <w:p w:rsidR="00C0242E" w:rsidRDefault="00C0242E" w:rsidP="00C0242E">
      <w:pPr>
        <w:spacing w:after="0"/>
      </w:pPr>
    </w:p>
    <w:p w:rsidR="00C0242E" w:rsidRDefault="00C0242E" w:rsidP="00C0242E">
      <w:pPr>
        <w:spacing w:after="0"/>
        <w:jc w:val="center"/>
      </w:pPr>
      <w:r>
        <w:rPr>
          <w:b/>
          <w:sz w:val="40"/>
          <w:szCs w:val="40"/>
        </w:rPr>
        <w:t>Contamination</w:t>
      </w:r>
    </w:p>
    <w:p w:rsidR="00C0242E" w:rsidRDefault="00C0242E" w:rsidP="00C0242E">
      <w:pPr>
        <w:jc w:val="both"/>
        <w:rPr>
          <w:rFonts w:ascii="Rockwell Extra Bold" w:hAnsi="Rockwell Extra Bold"/>
          <w:sz w:val="24"/>
          <w:szCs w:val="24"/>
        </w:rPr>
      </w:pPr>
      <w:r>
        <w:t xml:space="preserve">In the event of skips being contaminated with un-acceptable materials, a contamination report will be issued and the waste sent to landfill. The supplier will be invoiced for the cost of land filling based on the rates prevailing at the time of the disposal. </w:t>
      </w:r>
    </w:p>
    <w:p w:rsidR="00C0242E" w:rsidRDefault="00C0242E"/>
    <w:sectPr w:rsidR="00C0242E" w:rsidSect="00C0242E">
      <w:pgSz w:w="11906" w:h="16838"/>
      <w:pgMar w:top="28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2"/>
  </w:compat>
  <w:rsids>
    <w:rsidRoot w:val="00C0242E"/>
    <w:rsid w:val="000E52C9"/>
    <w:rsid w:val="00386E18"/>
    <w:rsid w:val="00423E89"/>
    <w:rsid w:val="00611EA1"/>
    <w:rsid w:val="00615A3C"/>
    <w:rsid w:val="006648C8"/>
    <w:rsid w:val="006B2B38"/>
    <w:rsid w:val="008D4C93"/>
    <w:rsid w:val="009D75EE"/>
    <w:rsid w:val="00B10D8A"/>
    <w:rsid w:val="00BF7CEC"/>
    <w:rsid w:val="00C0242E"/>
    <w:rsid w:val="00D539DB"/>
    <w:rsid w:val="00F24082"/>
    <w:rsid w:val="00F62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F67150DB-A230-4F71-A2D5-CFC0D56AC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6648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24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242E"/>
    <w:rPr>
      <w:rFonts w:ascii="Tahoma" w:hAnsi="Tahoma" w:cs="Tahoma"/>
      <w:sz w:val="16"/>
      <w:szCs w:val="16"/>
    </w:rPr>
  </w:style>
  <w:style w:type="table" w:styleId="TableGrid">
    <w:name w:val="Table Grid"/>
    <w:basedOn w:val="TableNormal"/>
    <w:uiPriority w:val="59"/>
    <w:rsid w:val="00C0242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C024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263</Words>
  <Characters>1500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Bottleman</dc:creator>
  <cp:lastModifiedBy>Bottleman Master PC</cp:lastModifiedBy>
  <cp:revision>2</cp:revision>
  <dcterms:created xsi:type="dcterms:W3CDTF">2016-03-22T14:58:00Z</dcterms:created>
  <dcterms:modified xsi:type="dcterms:W3CDTF">2016-03-22T14:58:00Z</dcterms:modified>
</cp:coreProperties>
</file>